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13D32"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20</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«Облыстық аурухана»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20</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Төлем мерзімі: Тапсырыс беруші тауарларды қабылдау актісіне қол қойған сәттен бастап 30 күнтізбелік күн ішінде.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асырады. Тауар Тапсырыс берушінің қоймасына жеткізіледі - ОҚО, Петропавловск, Брусиловский к-сі. Жеткізу уақыты 08: 00-ден 12: 30-ға дейін. және түнгі 2-ден. 4:30 дейін. (жұмыс уақытында Жеткізушінің тауарды түсіру және Тапсырыс берушіге беру мүмкіндігі болды, ал Тапсырыс беруші тауарларды алуға мүмкіндігі болды).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2019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C972D3" w:rsidRPr="00017456" w:rsidRDefault="00C972D3" w:rsidP="00995F97">
            <w:pPr>
              <w:pStyle w:val="a3"/>
              <w:shd w:val="clear" w:color="auto" w:fill="FFFFFF"/>
              <w:spacing w:before="0" w:beforeAutospacing="0" w:after="0" w:afterAutospacing="0"/>
              <w:jc w:val="both"/>
              <w:textAlignment w:val="baseline"/>
              <w:rPr>
                <w:b/>
                <w:sz w:val="22"/>
                <w:szCs w:val="22"/>
                <w:lang w:val="kk-KZ" w:eastAsia="en-US"/>
              </w:rPr>
            </w:pPr>
            <w:r w:rsidRPr="00017456">
              <w:rPr>
                <w:b/>
                <w:sz w:val="22"/>
                <w:szCs w:val="22"/>
                <w:lang w:val="kk-KZ" w:eastAsia="en-US"/>
              </w:rPr>
              <w:t>«Облыстық аурухана» ШЖҚ КМК</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Pr="00C972D3" w:rsidRDefault="00C972D3"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Default="00080F0B" w:rsidP="00080F0B">
      <w:pPr>
        <w:spacing w:after="0" w:line="240" w:lineRule="auto"/>
        <w:ind w:right="-286"/>
        <w:jc w:val="both"/>
        <w:rPr>
          <w:rFonts w:ascii="Times New Roman" w:eastAsia="Times New Roman" w:hAnsi="Times New Roman" w:cs="Times New Roman"/>
          <w:lang w:eastAsia="ru-RU"/>
        </w:rPr>
      </w:pPr>
    </w:p>
    <w:p w:rsidR="00A36598" w:rsidRPr="00C972D3" w:rsidRDefault="00A36598"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201</w:t>
      </w:r>
      <w:r w:rsidR="00D52571">
        <w:rPr>
          <w:rFonts w:ascii="Times New Roman" w:hAnsi="Times New Roman"/>
          <w:b w:val="0"/>
          <w:caps w:val="0"/>
          <w:sz w:val="22"/>
          <w:szCs w:val="22"/>
          <w:lang w:val="kk-KZ"/>
        </w:rPr>
        <w:t>9</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713C52"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lastRenderedPageBreak/>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C972D3"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91366B" w:rsidP="00080F0B">
            <w:pPr>
              <w:spacing w:after="0" w:line="240" w:lineRule="auto"/>
              <w:jc w:val="both"/>
              <w:rPr>
                <w:rFonts w:ascii="Times New Roman" w:eastAsia="Calibri" w:hAnsi="Times New Roman" w:cs="Times New Roman"/>
                <w:lang w:val="kk-KZ"/>
              </w:rPr>
            </w:pPr>
            <w:proofErr w:type="spellStart"/>
            <w:r w:rsidRPr="00C972D3">
              <w:rPr>
                <w:rFonts w:ascii="Times New Roman" w:eastAsia="Calibri" w:hAnsi="Times New Roman" w:cs="Times New Roman"/>
              </w:rPr>
              <w:t>Петропавл</w:t>
            </w:r>
            <w:proofErr w:type="spellEnd"/>
            <w:r w:rsidRPr="00C972D3">
              <w:rPr>
                <w:rFonts w:ascii="Times New Roman" w:eastAsia="Calibri" w:hAnsi="Times New Roman" w:cs="Times New Roman"/>
                <w:lang w:val="kk-KZ"/>
              </w:rPr>
              <w:t xml:space="preserve"> қ.</w:t>
            </w:r>
            <w:r w:rsidR="00807DF4" w:rsidRPr="00C972D3">
              <w:rPr>
                <w:rFonts w:ascii="Times New Roman" w:eastAsia="Calibri" w:hAnsi="Times New Roman" w:cs="Times New Roman"/>
              </w:rPr>
              <w:t xml:space="preserve">, </w:t>
            </w:r>
            <w:r w:rsidRPr="00C972D3">
              <w:rPr>
                <w:rFonts w:ascii="Times New Roman" w:eastAsia="Calibri" w:hAnsi="Times New Roman" w:cs="Times New Roman"/>
                <w:lang w:val="kk-KZ"/>
              </w:rPr>
              <w:t>Брусиловский көш., 20</w:t>
            </w:r>
          </w:p>
        </w:tc>
      </w:tr>
    </w:tbl>
    <w:p w:rsidR="00ED0B24" w:rsidRPr="00C972D3" w:rsidRDefault="00ED0B24"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3E240B"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854D46" w:rsidP="00080F0B">
      <w:pPr>
        <w:spacing w:after="0" w:line="240" w:lineRule="auto"/>
        <w:ind w:right="-286"/>
        <w:jc w:val="both"/>
        <w:rPr>
          <w:rFonts w:ascii="Times New Roman" w:eastAsia="Times New Roman" w:hAnsi="Times New Roman" w:cs="Times New Roman"/>
          <w:lang w:eastAsia="ru-RU"/>
        </w:rPr>
      </w:pPr>
      <w:r w:rsidRPr="00C972D3">
        <w:rPr>
          <w:rFonts w:ascii="Times New Roman" w:eastAsia="Times New Roman" w:hAnsi="Times New Roman" w:cs="Times New Roman"/>
          <w:lang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201</w:t>
      </w:r>
      <w:r w:rsidR="00D52571">
        <w:rPr>
          <w:rFonts w:ascii="Times New Roman" w:hAnsi="Times New Roman"/>
          <w:b w:val="0"/>
          <w:caps w:val="0"/>
          <w:sz w:val="22"/>
          <w:szCs w:val="22"/>
          <w:lang w:val="kk-KZ"/>
        </w:rPr>
        <w:t>9</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 xml:space="preserve">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 xml:space="preserve">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42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DC3390D-E17A-4877-9B31-4FFAC12EFE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1503</TotalTime>
  <Pages>9</Pages>
  <Words>3495</Words>
  <Characters>19928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100</cp:revision>
  <cp:lastPrinted>2018-08-29T06:32:00Z</cp:lastPrinted>
  <dcterms:created xsi:type="dcterms:W3CDTF">2018-07-18T05:43:00Z</dcterms:created>
  <dcterms:modified xsi:type="dcterms:W3CDTF">2020-01-10T04:10:00Z</dcterms:modified>
</cp:coreProperties>
</file>